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DB" w:rsidRDefault="001E24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24DB" w:rsidRDefault="001E24DB">
      <w:pPr>
        <w:pStyle w:val="ConsPlusNormal"/>
        <w:outlineLvl w:val="0"/>
      </w:pPr>
    </w:p>
    <w:p w:rsidR="001E24DB" w:rsidRDefault="001E24D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E24DB" w:rsidRDefault="001E24DB">
      <w:pPr>
        <w:pStyle w:val="ConsPlusNormal"/>
        <w:spacing w:before="220"/>
        <w:jc w:val="both"/>
      </w:pPr>
      <w:r>
        <w:t>Республики Беларусь 15 июня 2017 г. N 5/43836</w:t>
      </w:r>
    </w:p>
    <w:p w:rsidR="001E24DB" w:rsidRDefault="001E2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4DB" w:rsidRDefault="001E24DB">
      <w:pPr>
        <w:pStyle w:val="ConsPlusNormal"/>
      </w:pPr>
    </w:p>
    <w:p w:rsidR="001E24DB" w:rsidRDefault="001E24DB">
      <w:pPr>
        <w:pStyle w:val="ConsPlusTitle"/>
        <w:jc w:val="center"/>
      </w:pPr>
      <w:r>
        <w:t>ПОСТАНОВЛЕНИЕ СОВЕТА МИНИСТРОВ РЕСПУБЛИКИ БЕЛАРУСЬ</w:t>
      </w:r>
    </w:p>
    <w:p w:rsidR="001E24DB" w:rsidRDefault="001E24DB">
      <w:pPr>
        <w:pStyle w:val="ConsPlusTitle"/>
        <w:jc w:val="center"/>
      </w:pPr>
      <w:r>
        <w:t>13 июня 2017 г. N 445</w:t>
      </w:r>
    </w:p>
    <w:p w:rsidR="001E24DB" w:rsidRDefault="001E24DB">
      <w:pPr>
        <w:pStyle w:val="ConsPlusTitle"/>
        <w:jc w:val="center"/>
      </w:pPr>
    </w:p>
    <w:p w:rsidR="001E24DB" w:rsidRDefault="001E24DB">
      <w:pPr>
        <w:pStyle w:val="ConsPlusTitle"/>
        <w:jc w:val="center"/>
      </w:pPr>
      <w:bookmarkStart w:id="0" w:name="P8"/>
      <w:bookmarkEnd w:id="0"/>
      <w:r>
        <w:t>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</w:t>
      </w:r>
    </w:p>
    <w:p w:rsidR="001E24DB" w:rsidRDefault="001E24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24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4DB" w:rsidRDefault="001E2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05.08.2019 </w:t>
            </w:r>
            <w:hyperlink r:id="rId6" w:history="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24DB" w:rsidRDefault="001E2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7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24DB" w:rsidRDefault="001E24DB">
      <w:pPr>
        <w:pStyle w:val="ConsPlusNormal"/>
      </w:pPr>
    </w:p>
    <w:p w:rsidR="001E24DB" w:rsidRDefault="001E24DB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части третьей пункта 2 статьи 3</w:t>
        </w:r>
      </w:hyperlink>
      <w:r>
        <w:t xml:space="preserve"> Закона Республики Беларусь от 28 октября 2008 г. N 433-З "Об основах административных процедур" Совет Министров Республики Беларусь ПОСТАНОВЛЯЕТ:</w:t>
      </w:r>
    </w:p>
    <w:p w:rsidR="001E24DB" w:rsidRDefault="001E24D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05.08.2019 N 515)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предпринимателей), согласно приложению.</w:t>
      </w:r>
    </w:p>
    <w:p w:rsidR="001E24DB" w:rsidRDefault="001E24DB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Совмина от 18.05.2020 N 291)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Республиканским органам государственного управления, проводящим государственную политику и осуществляющим государственное регулирование в определенной отрасли (сфере деятельности), разработать и утвердить в пределах компетенции инструкции по совершению административных процедур, указанных в </w:t>
      </w:r>
      <w:hyperlink w:anchor="P8" w:history="1">
        <w:r>
          <w:rPr>
            <w:color w:val="0000FF"/>
          </w:rPr>
          <w:t>перечне</w:t>
        </w:r>
      </w:hyperlink>
      <w:r>
        <w:t xml:space="preserve"> 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предпринимателей), обеспечив четкий, прозрачный и максимально необременительный для граждан механизм осуществления таких процедур, установление в случае отсутствия</w:t>
      </w:r>
      <w:proofErr w:type="gramEnd"/>
      <w:r>
        <w:t xml:space="preserve"> в законодательстве об административных процедурах промежуточных и предельных сроков их выполнения, исключение необоснованных требований.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15 июля 2017 г.</w:t>
      </w:r>
    </w:p>
    <w:p w:rsidR="001E24DB" w:rsidRDefault="001E24D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24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4DB" w:rsidRDefault="001E24D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4DB" w:rsidRDefault="001E24DB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1E24DB" w:rsidRDefault="001E24DB">
      <w:pPr>
        <w:pStyle w:val="ConsPlusNormal"/>
        <w:jc w:val="center"/>
      </w:pPr>
      <w:r>
        <w:t>ПЕРЕЧЕНЬ</w:t>
      </w:r>
    </w:p>
    <w:p w:rsidR="001E24DB" w:rsidRDefault="001E24DB">
      <w:pPr>
        <w:pStyle w:val="ConsPlusNormal"/>
        <w:jc w:val="center"/>
      </w:pPr>
      <w:r>
        <w:t>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</w:t>
      </w:r>
    </w:p>
    <w:p w:rsidR="001E24DB" w:rsidRDefault="001E24DB">
      <w:pPr>
        <w:pStyle w:val="ConsPlusNormal"/>
        <w:jc w:val="both"/>
      </w:pPr>
    </w:p>
    <w:p w:rsidR="001E24DB" w:rsidRDefault="001E24DB">
      <w:pPr>
        <w:pStyle w:val="ConsPlusNormal"/>
        <w:ind w:firstLine="540"/>
        <w:jc w:val="both"/>
      </w:pPr>
      <w:r>
        <w:t xml:space="preserve">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Совмина от 18.05.2020 N 291.</w:t>
      </w:r>
    </w:p>
    <w:p w:rsidR="001E24DB" w:rsidRDefault="001E24DB">
      <w:pPr>
        <w:pStyle w:val="ConsPlusNormal"/>
      </w:pPr>
    </w:p>
    <w:p w:rsidR="001E24DB" w:rsidRDefault="001E24DB">
      <w:pPr>
        <w:pStyle w:val="ConsPlusNormal"/>
      </w:pPr>
    </w:p>
    <w:p w:rsidR="001E24DB" w:rsidRDefault="001E24DB">
      <w:pPr>
        <w:pStyle w:val="ConsPlusNormal"/>
      </w:pPr>
    </w:p>
    <w:p w:rsidR="001E24DB" w:rsidRDefault="001E24DB">
      <w:pPr>
        <w:pStyle w:val="ConsPlusNormal"/>
      </w:pPr>
    </w:p>
    <w:p w:rsidR="001E24DB" w:rsidRDefault="001E24DB">
      <w:pPr>
        <w:pStyle w:val="ConsPlusNormal"/>
      </w:pPr>
    </w:p>
    <w:p w:rsidR="001E24DB" w:rsidRDefault="001E24DB">
      <w:pPr>
        <w:pStyle w:val="ConsPlusNormal"/>
        <w:jc w:val="right"/>
        <w:outlineLvl w:val="0"/>
      </w:pPr>
      <w:r>
        <w:t>Приложение</w:t>
      </w:r>
    </w:p>
    <w:p w:rsidR="001E24DB" w:rsidRDefault="001E24DB">
      <w:pPr>
        <w:pStyle w:val="ConsPlusNormal"/>
        <w:jc w:val="right"/>
      </w:pPr>
      <w:r>
        <w:t>к постановлению</w:t>
      </w:r>
    </w:p>
    <w:p w:rsidR="001E24DB" w:rsidRDefault="001E24DB">
      <w:pPr>
        <w:pStyle w:val="ConsPlusNormal"/>
        <w:jc w:val="right"/>
      </w:pPr>
      <w:r>
        <w:lastRenderedPageBreak/>
        <w:t>Совета Министров</w:t>
      </w:r>
    </w:p>
    <w:p w:rsidR="001E24DB" w:rsidRDefault="001E24DB">
      <w:pPr>
        <w:pStyle w:val="ConsPlusNormal"/>
        <w:jc w:val="right"/>
      </w:pPr>
      <w:r>
        <w:t>Республики Беларусь</w:t>
      </w:r>
    </w:p>
    <w:p w:rsidR="001E24DB" w:rsidRDefault="001E24DB">
      <w:pPr>
        <w:pStyle w:val="ConsPlusNormal"/>
        <w:jc w:val="right"/>
      </w:pPr>
      <w:r>
        <w:t>13.06.2017 N 445</w:t>
      </w:r>
    </w:p>
    <w:p w:rsidR="001E24DB" w:rsidRDefault="001E24DB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E24DB" w:rsidRDefault="001E24DB">
      <w:pPr>
        <w:pStyle w:val="ConsPlusNormal"/>
        <w:jc w:val="right"/>
      </w:pPr>
      <w:r>
        <w:t>Совета Министров</w:t>
      </w:r>
    </w:p>
    <w:p w:rsidR="001E24DB" w:rsidRDefault="001E24DB">
      <w:pPr>
        <w:pStyle w:val="ConsPlusNormal"/>
        <w:jc w:val="right"/>
      </w:pPr>
      <w:r>
        <w:t>Республики Беларусь</w:t>
      </w:r>
    </w:p>
    <w:p w:rsidR="001E24DB" w:rsidRDefault="001E24DB">
      <w:pPr>
        <w:pStyle w:val="ConsPlusNormal"/>
        <w:jc w:val="right"/>
      </w:pPr>
      <w:proofErr w:type="gramStart"/>
      <w:r>
        <w:t>18.05.2020 N 291)</w:t>
      </w:r>
      <w:proofErr w:type="gramEnd"/>
    </w:p>
    <w:p w:rsidR="001E24DB" w:rsidRDefault="001E24DB">
      <w:pPr>
        <w:pStyle w:val="ConsPlusNormal"/>
      </w:pPr>
    </w:p>
    <w:p w:rsidR="001E24DB" w:rsidRDefault="001E24DB">
      <w:pPr>
        <w:pStyle w:val="ConsPlusTitle"/>
        <w:jc w:val="center"/>
      </w:pPr>
      <w:bookmarkStart w:id="1" w:name="P39"/>
      <w:bookmarkEnd w:id="1"/>
      <w:r>
        <w:t>ПЕРЕЧЕНЬ</w:t>
      </w:r>
    </w:p>
    <w:p w:rsidR="001E24DB" w:rsidRDefault="001E24DB">
      <w:pPr>
        <w:pStyle w:val="ConsPlusTitle"/>
        <w:jc w:val="center"/>
      </w:pPr>
      <w:r>
        <w:t>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</w:t>
      </w:r>
    </w:p>
    <w:p w:rsidR="001E24DB" w:rsidRDefault="001E24D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Совмина от 18.05.2020 N 291)</w:t>
      </w:r>
    </w:p>
    <w:p w:rsidR="001E24DB" w:rsidRDefault="001E24DB">
      <w:pPr>
        <w:pStyle w:val="ConsPlusNormal"/>
      </w:pPr>
    </w:p>
    <w:p w:rsidR="001E24DB" w:rsidRDefault="001E24DB">
      <w:pPr>
        <w:pStyle w:val="ConsPlusNormal"/>
        <w:ind w:firstLine="540"/>
        <w:jc w:val="both"/>
      </w:pPr>
      <w:r>
        <w:t xml:space="preserve">1. </w:t>
      </w:r>
      <w:proofErr w:type="gramStart"/>
      <w:r>
        <w:t>Принятие решения о разрешении отчуждения одноквартирного жилого дома, квартиры в многоквартирном или блокированном жилом доме (далее в настоящем пункте -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 уплату части</w:t>
      </w:r>
      <w:proofErr w:type="gramEnd"/>
      <w:r>
        <w:t xml:space="preserve"> </w:t>
      </w:r>
      <w:proofErr w:type="gramStart"/>
      <w:r>
        <w:t>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установленного кредитными</w:t>
      </w:r>
      <w:proofErr w:type="gramEnd"/>
      <w:r>
        <w:t xml:space="preserve"> </w:t>
      </w:r>
      <w:proofErr w:type="gramStart"/>
      <w:r>
        <w:t>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 (</w:t>
      </w:r>
      <w:hyperlink r:id="rId13" w:history="1">
        <w:r>
          <w:rPr>
            <w:color w:val="0000FF"/>
          </w:rPr>
          <w:t>подпункт 1.1.2 пункта 1.1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</w:t>
      </w:r>
      <w:proofErr w:type="gramEnd"/>
      <w:r>
        <w:t xml:space="preserve"> (далее - перечень).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(</w:t>
      </w:r>
      <w:hyperlink r:id="rId14" w:history="1">
        <w:r>
          <w:rPr>
            <w:color w:val="0000FF"/>
          </w:rPr>
          <w:t>подпункт 1.1.3 пункта 1.1</w:t>
        </w:r>
      </w:hyperlink>
      <w:r>
        <w:t xml:space="preserve"> перечня</w:t>
      </w:r>
      <w:proofErr w:type="gramEnd"/>
      <w:r>
        <w:t>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3. Принятие решения о признании жилого помещения не соответствующим установленным для проживания санитарным и техническим требованиям (</w:t>
      </w:r>
      <w:hyperlink r:id="rId15" w:history="1">
        <w:r>
          <w:rPr>
            <w:color w:val="0000FF"/>
          </w:rPr>
          <w:t>подпункт 1.1.12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Принятие решения о переводе жилого помещения в нежилое (</w:t>
      </w:r>
      <w:hyperlink r:id="rId16" w:history="1">
        <w:r>
          <w:rPr>
            <w:color w:val="0000FF"/>
          </w:rPr>
          <w:t>подпункт 1.1.14 пункта 1.1</w:t>
        </w:r>
      </w:hyperlink>
      <w:r>
        <w:t xml:space="preserve"> перечня).</w:t>
      </w:r>
      <w:proofErr w:type="gramEnd"/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Принятие решения о переводе нежилого помещения в жилое (</w:t>
      </w:r>
      <w:hyperlink r:id="rId17" w:history="1">
        <w:r>
          <w:rPr>
            <w:color w:val="0000FF"/>
          </w:rPr>
          <w:t>подпункт 1.1.15-1 пункта 1.1</w:t>
        </w:r>
      </w:hyperlink>
      <w:r>
        <w:t xml:space="preserve"> перечня).</w:t>
      </w:r>
      <w:proofErr w:type="gramEnd"/>
    </w:p>
    <w:p w:rsidR="001E24DB" w:rsidRDefault="001E24DB">
      <w:pPr>
        <w:pStyle w:val="ConsPlusNormal"/>
        <w:spacing w:before="220"/>
        <w:ind w:firstLine="540"/>
        <w:jc w:val="both"/>
      </w:pPr>
      <w:r>
        <w:t>6. Принятие решения о сносе непригодного для проживания жилого помещения (</w:t>
      </w:r>
      <w:hyperlink r:id="rId18" w:history="1">
        <w:r>
          <w:rPr>
            <w:color w:val="0000FF"/>
          </w:rPr>
          <w:t>подпункт 1.1.16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7. Принятие решения о согласовании использования не по назначению одноквартирного, блокированного жилого дома или его части (</w:t>
      </w:r>
      <w:hyperlink r:id="rId19" w:history="1">
        <w:r>
          <w:rPr>
            <w:color w:val="0000FF"/>
          </w:rPr>
          <w:t>подпункт 1.1.17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lastRenderedPageBreak/>
        <w:t>8. Принятие решения о согласовании (разрешении) переустройства и (или) перепланировки жилого помещения, нежилого помещения в жилом доме (</w:t>
      </w:r>
      <w:hyperlink r:id="rId20" w:history="1">
        <w:r>
          <w:rPr>
            <w:color w:val="0000FF"/>
          </w:rPr>
          <w:t>подпункт 1.1.21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9. Принятие решения о согласовании (разрешении) </w:t>
      </w:r>
      <w:proofErr w:type="gramStart"/>
      <w:r>
        <w:t>самовольных</w:t>
      </w:r>
      <w:proofErr w:type="gramEnd"/>
      <w:r>
        <w:t xml:space="preserve"> переустройства и (или) перепланировки жилого помещения, нежилого помещения в жилом доме (</w:t>
      </w:r>
      <w:hyperlink r:id="rId21" w:history="1">
        <w:r>
          <w:rPr>
            <w:color w:val="0000FF"/>
          </w:rPr>
          <w:t>подпункт 1.1.21-1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10. 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 (</w:t>
      </w:r>
      <w:hyperlink r:id="rId22" w:history="1">
        <w:r>
          <w:rPr>
            <w:color w:val="0000FF"/>
          </w:rPr>
          <w:t>подпункт 1.1.21-2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11. Принятие решения о предоставлении одноразовой субсидии на строительство (реконструкцию) или приобретение жилого помещения (</w:t>
      </w:r>
      <w:hyperlink r:id="rId23" w:history="1">
        <w:r>
          <w:rPr>
            <w:color w:val="0000FF"/>
          </w:rPr>
          <w:t>подпункт 1.1.24 пункта 1.1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</w:t>
      </w:r>
      <w:hyperlink r:id="rId24" w:history="1">
        <w:r>
          <w:rPr>
            <w:color w:val="0000FF"/>
          </w:rPr>
          <w:t>подпункт 1.3.11 пункта 1.3</w:t>
        </w:r>
      </w:hyperlink>
      <w:r>
        <w:t xml:space="preserve"> перечня).</w:t>
      </w:r>
      <w:proofErr w:type="gramEnd"/>
    </w:p>
    <w:p w:rsidR="001E24DB" w:rsidRDefault="001E24DB">
      <w:pPr>
        <w:pStyle w:val="ConsPlusNormal"/>
        <w:spacing w:before="220"/>
        <w:ind w:firstLine="540"/>
        <w:jc w:val="both"/>
      </w:pPr>
      <w:r>
        <w:t>13. Выдача согласования проектной документации на переустройство и (или) перепланировку жилых помещений, нежилых помещений в жилых домах (</w:t>
      </w:r>
      <w:hyperlink r:id="rId25" w:history="1">
        <w:r>
          <w:rPr>
            <w:color w:val="0000FF"/>
          </w:rPr>
          <w:t>подпункт 1.15.3 пункта 1.15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14. Выдача </w:t>
      </w:r>
      <w:proofErr w:type="gramStart"/>
      <w:r>
        <w:t>акта обследования условий жизни кандидата</w:t>
      </w:r>
      <w:proofErr w:type="gramEnd"/>
      <w:r>
        <w:t xml:space="preserve"> в усыновители (удочерители) (</w:t>
      </w:r>
      <w:hyperlink r:id="rId26" w:history="1">
        <w:r>
          <w:rPr>
            <w:color w:val="0000FF"/>
          </w:rPr>
          <w:t>пункт 4.1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15. Принятие решения о создании детского дома семейного типа (</w:t>
      </w:r>
      <w:hyperlink r:id="rId27" w:history="1">
        <w:r>
          <w:rPr>
            <w:color w:val="0000FF"/>
          </w:rPr>
          <w:t>пункт 4.7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16.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 на предоставленном земельном участке (</w:t>
      </w:r>
      <w:hyperlink r:id="rId28" w:history="1">
        <w:r>
          <w:rPr>
            <w:color w:val="0000FF"/>
          </w:rPr>
          <w:t>подпункт 9.3.1 пункта 9.3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17. Выдача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</w:t>
      </w:r>
      <w:hyperlink r:id="rId29" w:history="1">
        <w:r>
          <w:rPr>
            <w:color w:val="0000FF"/>
          </w:rPr>
          <w:t>подпункт 9.3.3 пункта 9.3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18. Выдача подписанного акта проверки осуществления консервации не завершенного строительством жилого дома, дачи, а также благоустройства земельного участка, на котором проведена консервация такого дома, дачи (</w:t>
      </w:r>
      <w:hyperlink r:id="rId30" w:history="1">
        <w:r>
          <w:rPr>
            <w:color w:val="0000FF"/>
          </w:rPr>
          <w:t>подпункт 9.3.6 пункта 9.3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19.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 (</w:t>
      </w:r>
      <w:hyperlink r:id="rId31" w:history="1">
        <w:r>
          <w:rPr>
            <w:color w:val="0000FF"/>
          </w:rPr>
          <w:t>подпункт 9.4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20. Оказание услуг по газификации одноквартирного жилого дома с оказанием гражданину комплексной услуги газоснабжающей организацией (</w:t>
      </w:r>
      <w:hyperlink r:id="rId32" w:history="1">
        <w:r>
          <w:rPr>
            <w:color w:val="0000FF"/>
          </w:rPr>
          <w:t>пункт 10.3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21. Подключение электроустановок граждан к электрическим сетям (</w:t>
      </w:r>
      <w:hyperlink r:id="rId33" w:history="1">
        <w:r>
          <w:rPr>
            <w:color w:val="0000FF"/>
          </w:rPr>
          <w:t>пункт 10.5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22. Выдача свидетельства о соответствии транспортного средства с внесенными в его конструкцию изменениями требованиям безопасности (</w:t>
      </w:r>
      <w:hyperlink r:id="rId34" w:history="1">
        <w:r>
          <w:rPr>
            <w:color w:val="0000FF"/>
          </w:rPr>
          <w:t>пункт 15.13-1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23. Принятие решения, подтверждающего приобретательную давность на недвижимое имущество (</w:t>
      </w:r>
      <w:hyperlink r:id="rId35" w:history="1">
        <w:r>
          <w:rPr>
            <w:color w:val="0000FF"/>
          </w:rPr>
          <w:t>пункт 22.8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lastRenderedPageBreak/>
        <w:t>24.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(</w:t>
      </w:r>
      <w:hyperlink r:id="rId36" w:history="1">
        <w:r>
          <w:rPr>
            <w:color w:val="0000FF"/>
          </w:rPr>
          <w:t>пункт 22.9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>25.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 (</w:t>
      </w:r>
      <w:hyperlink r:id="rId37" w:history="1">
        <w:r>
          <w:rPr>
            <w:color w:val="0000FF"/>
          </w:rPr>
          <w:t>пункт 22.9-1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(</w:t>
      </w:r>
      <w:hyperlink r:id="rId38" w:history="1">
        <w:r>
          <w:rPr>
            <w:color w:val="0000FF"/>
          </w:rPr>
          <w:t>пункт 22.9-2</w:t>
        </w:r>
      </w:hyperlink>
      <w:r>
        <w:t xml:space="preserve"> перечня).</w:t>
      </w:r>
      <w:proofErr w:type="gramEnd"/>
    </w:p>
    <w:p w:rsidR="001E24DB" w:rsidRDefault="001E24DB">
      <w:pPr>
        <w:pStyle w:val="ConsPlusNormal"/>
        <w:spacing w:before="220"/>
        <w:ind w:firstLine="540"/>
        <w:jc w:val="both"/>
      </w:pPr>
      <w:r>
        <w:t>27.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 (</w:t>
      </w:r>
      <w:hyperlink r:id="rId39" w:history="1">
        <w:r>
          <w:rPr>
            <w:color w:val="0000FF"/>
          </w:rPr>
          <w:t>пункт 22.9-3</w:t>
        </w:r>
      </w:hyperlink>
      <w:r>
        <w:t xml:space="preserve"> перечня).</w:t>
      </w:r>
    </w:p>
    <w:p w:rsidR="001E24DB" w:rsidRDefault="001E24DB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</w:t>
      </w:r>
      <w:proofErr w:type="gramEnd"/>
      <w:r>
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 (</w:t>
      </w:r>
      <w:hyperlink r:id="rId40" w:history="1">
        <w:r>
          <w:rPr>
            <w:color w:val="0000FF"/>
          </w:rPr>
          <w:t>пункт 22.24</w:t>
        </w:r>
      </w:hyperlink>
      <w:r>
        <w:t xml:space="preserve"> перечня).</w:t>
      </w:r>
    </w:p>
    <w:p w:rsidR="001E24DB" w:rsidRDefault="001E24DB">
      <w:pPr>
        <w:pStyle w:val="ConsPlusNormal"/>
      </w:pPr>
    </w:p>
    <w:p w:rsidR="001E24DB" w:rsidRDefault="001E24DB">
      <w:pPr>
        <w:pStyle w:val="ConsPlusNormal"/>
      </w:pPr>
    </w:p>
    <w:p w:rsidR="001E24DB" w:rsidRDefault="001E2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F2A" w:rsidRDefault="00F81F2A">
      <w:bookmarkStart w:id="2" w:name="_GoBack"/>
      <w:bookmarkEnd w:id="2"/>
    </w:p>
    <w:sectPr w:rsidR="00F81F2A" w:rsidSect="00A8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B"/>
    <w:rsid w:val="001E24DB"/>
    <w:rsid w:val="00F8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381869416A8A26E5A8FAC19D644ECA0C3D768873D181D616877A4AF92199A43641473F4E9136B5167F4DEE42A711D6C142225D54BA8BA774DD12CB1y7x7J" TargetMode="External"/><Relationship Id="rId13" Type="http://schemas.openxmlformats.org/officeDocument/2006/relationships/hyperlink" Target="consultantplus://offline/ref=B2E381869416A8A26E5A8FAC19D644ECA0C3D768873D1519686B71A4AF92199A43641473F4E9136B5162F7D8E52A711D6C142225D54BA8BA774DD12CB1y7x7J" TargetMode="External"/><Relationship Id="rId18" Type="http://schemas.openxmlformats.org/officeDocument/2006/relationships/hyperlink" Target="consultantplus://offline/ref=B2E381869416A8A26E5A8FAC19D644ECA0C3D768873D1519686B71A4AF92199A43641473F4E9136B5167F4DCEE2C711D6C142225D54BA8BA774DD12CB1y7x7J" TargetMode="External"/><Relationship Id="rId26" Type="http://schemas.openxmlformats.org/officeDocument/2006/relationships/hyperlink" Target="consultantplus://offline/ref=B2E381869416A8A26E5A8FAC19D644ECA0C3D768873D1519686B71A4AF92199A43641473F4E9136B5162F7DEE421711D6C142225D54BA8BA774DD12CB1y7x7J" TargetMode="External"/><Relationship Id="rId39" Type="http://schemas.openxmlformats.org/officeDocument/2006/relationships/hyperlink" Target="consultantplus://offline/ref=B2E381869416A8A26E5A8FAC19D644ECA0C3D768873D1519686B71A4AF92199A43641473F4E9136B5163FDD9E42A711D6C142225D54BA8BA774DD12CB1y7x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E381869416A8A26E5A8FAC19D644ECA0C3D768873D1519686B71A4AF92199A43641473F4E9136B5163F3DBE22F711D6C142225D54BA8BA774DD12CB1y7x7J" TargetMode="External"/><Relationship Id="rId34" Type="http://schemas.openxmlformats.org/officeDocument/2006/relationships/hyperlink" Target="consultantplus://offline/ref=B2E381869416A8A26E5A8FAC19D644ECA0C3D768873D1519686B71A4AF92199A43641473F4E9136B5163FCDBE52D711D6C142225D54BA8BA774DD12CB1y7x7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2E381869416A8A26E5A8FAC19D644ECA0C3D768873D1B17636977A4AF92199A43641473F4E9136B5167F4DAE721711D6C142225D54BA8BA774DD12CB1y7x7J" TargetMode="External"/><Relationship Id="rId12" Type="http://schemas.openxmlformats.org/officeDocument/2006/relationships/hyperlink" Target="consultantplus://offline/ref=B2E381869416A8A26E5A8FAC19D644ECA0C3D768873D1B17636977A4AF92199A43641473F4E9136B5167F4DAE62A711D6C142225D54BA8BA774DD12CB1y7x7J" TargetMode="External"/><Relationship Id="rId17" Type="http://schemas.openxmlformats.org/officeDocument/2006/relationships/hyperlink" Target="consultantplus://offline/ref=B2E381869416A8A26E5A8FAC19D644ECA0C3D768873D1519686B71A4AF92199A43641473F4E9136B5163F3DBE321711D6C142225D54BA8BA774DD12CB1y7x7J" TargetMode="External"/><Relationship Id="rId25" Type="http://schemas.openxmlformats.org/officeDocument/2006/relationships/hyperlink" Target="consultantplus://offline/ref=B2E381869416A8A26E5A8FAC19D644ECA0C3D768873D1519686B71A4AF92199A43641473F4E9136B5164F2DCE628711D6C142225D54BA8BA774DD12CB1y7x7J" TargetMode="External"/><Relationship Id="rId33" Type="http://schemas.openxmlformats.org/officeDocument/2006/relationships/hyperlink" Target="consultantplus://offline/ref=B2E381869416A8A26E5A8FAC19D644ECA0C3D768873D1519686B71A4AF92199A43641473F4E9136B5162F7DFE52E711D6C142225D54BA8BA774DD12CB1y7x7J" TargetMode="External"/><Relationship Id="rId38" Type="http://schemas.openxmlformats.org/officeDocument/2006/relationships/hyperlink" Target="consultantplus://offline/ref=B2E381869416A8A26E5A8FAC19D644ECA0C3D768873D1519686B71A4AF92199A43641473F4E9136B5163F1DEE52F711D6C142225D54BA8BA774DD12CB1y7x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E381869416A8A26E5A8FAC19D644ECA0C3D768873D1519686B71A4AF92199A43641473F4E9136B5163F3DBE32D711D6C142225D54BA8BA774DD12CB1y7x7J" TargetMode="External"/><Relationship Id="rId20" Type="http://schemas.openxmlformats.org/officeDocument/2006/relationships/hyperlink" Target="consultantplus://offline/ref=B2E381869416A8A26E5A8FAC19D644ECA0C3D768873D1519686B71A4AF92199A43641473F4E9136B5163F3DBE22D711D6C142225D54BA8BA774DD12CB1y7x7J" TargetMode="External"/><Relationship Id="rId29" Type="http://schemas.openxmlformats.org/officeDocument/2006/relationships/hyperlink" Target="consultantplus://offline/ref=B2E381869416A8A26E5A8FAC19D644ECA0C3D768873D1519686B71A4AF92199A43641473F4E9136B5164F2DDE021711D6C142225D54BA8BA774DD12CB1y7x7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381869416A8A26E5A8FAC19D644ECA0C3D768873D151A606A72A4AF92199A43641473F4E9136B5167F4D9E420711D6C142225D54BA8BA774DD12CB1y7x7J" TargetMode="External"/><Relationship Id="rId11" Type="http://schemas.openxmlformats.org/officeDocument/2006/relationships/hyperlink" Target="consultantplus://offline/ref=B2E381869416A8A26E5A8FAC19D644ECA0C3D768873D1B17636977A4AF92199A43641473F4E9136B5167F4DAE62A711D6C142225D54BA8BA774DD12CB1y7x7J" TargetMode="External"/><Relationship Id="rId24" Type="http://schemas.openxmlformats.org/officeDocument/2006/relationships/hyperlink" Target="consultantplus://offline/ref=B2E381869416A8A26E5A8FAC19D644ECA0C3D768873D1519686B71A4AF92199A43641473F4E9136B5165F5DBE52D711D6C142225D54BA8BA774DD12CB1y7x7J" TargetMode="External"/><Relationship Id="rId32" Type="http://schemas.openxmlformats.org/officeDocument/2006/relationships/hyperlink" Target="consultantplus://offline/ref=B2E381869416A8A26E5A8FAC19D644ECA0C3D768873D1519686B71A4AF92199A43641473F4E9136B5167F1DAEF2E711D6C142225D54BA8BA774DD12CB1y7x7J" TargetMode="External"/><Relationship Id="rId37" Type="http://schemas.openxmlformats.org/officeDocument/2006/relationships/hyperlink" Target="consultantplus://offline/ref=B2E381869416A8A26E5A8FAC19D644ECA0C3D768873D1519686B71A4AF92199A43641473F4E9136B5164FDDCE22E711D6C142225D54BA8BA774DD12CB1y7x7J" TargetMode="External"/><Relationship Id="rId40" Type="http://schemas.openxmlformats.org/officeDocument/2006/relationships/hyperlink" Target="consultantplus://offline/ref=B2E381869416A8A26E5A8FAC19D644ECA0C3D768873D1519686B71A4AF92199A43641473F4E9136B5164F7DCE12C711D6C142225D54BA8BA774DD12CB1y7x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2E381869416A8A26E5A8FAC19D644ECA0C3D768873D1519686B71A4AF92199A43641473F4E9136B5165F5DAE721711D6C142225D54BA8BA774DD12CB1y7x7J" TargetMode="External"/><Relationship Id="rId23" Type="http://schemas.openxmlformats.org/officeDocument/2006/relationships/hyperlink" Target="consultantplus://offline/ref=B2E381869416A8A26E5A8FAC19D644ECA0C3D768873D1519686B71A4AF92199A43641473F4E9136B5165F4DEE62B711D6C142225D54BA8BA774DD12CB1y7x7J" TargetMode="External"/><Relationship Id="rId28" Type="http://schemas.openxmlformats.org/officeDocument/2006/relationships/hyperlink" Target="consultantplus://offline/ref=B2E381869416A8A26E5A8FAC19D644ECA0C3D768873D1519686B71A4AF92199A43641473F4E9136B5165F5D3E32C711D6C142225D54BA8BA774DD12CB1y7x7J" TargetMode="External"/><Relationship Id="rId36" Type="http://schemas.openxmlformats.org/officeDocument/2006/relationships/hyperlink" Target="consultantplus://offline/ref=B2E381869416A8A26E5A8FAC19D644ECA0C3D768873D1519686B71A4AF92199A43641473F4E9136B5166FCD2E420711D6C142225D54BA8BA774DD12CB1y7x7J" TargetMode="External"/><Relationship Id="rId10" Type="http://schemas.openxmlformats.org/officeDocument/2006/relationships/hyperlink" Target="consultantplus://offline/ref=B2E381869416A8A26E5A8FAC19D644ECA0C3D768873D1B17636977A4AF92199A43641473F4E9136B5167F4DAE628711D6C142225D54BA8BA774DD12CB1y7x7J" TargetMode="External"/><Relationship Id="rId19" Type="http://schemas.openxmlformats.org/officeDocument/2006/relationships/hyperlink" Target="consultantplus://offline/ref=B2E381869416A8A26E5A8FAC19D644ECA0C3D768873D1519686B71A4AF92199A43641473F4E9136B5163F3DBE22B711D6C142225D54BA8BA774DD12CB1y7x7J" TargetMode="External"/><Relationship Id="rId31" Type="http://schemas.openxmlformats.org/officeDocument/2006/relationships/hyperlink" Target="consultantplus://offline/ref=B2E381869416A8A26E5A8FAC19D644ECA0C3D768873D1519686B71A4AF92199A43641473F4E9136B5167F1DAE720711D6C142225D54BA8BA774DD12CB1y7x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381869416A8A26E5A8FAC19D644ECA0C3D768873D151A606A72A4AF92199A43641473F4E9136B5167F4D9E329711D6C142225D54BA8BA774DD12CB1y7x7J" TargetMode="External"/><Relationship Id="rId14" Type="http://schemas.openxmlformats.org/officeDocument/2006/relationships/hyperlink" Target="consultantplus://offline/ref=B2E381869416A8A26E5A8FAC19D644ECA0C3D768873D1519686B71A4AF92199A43641473F4E9136B5164F7D3E529711D6C142225D54BA8BA774DD12CB1y7x7J" TargetMode="External"/><Relationship Id="rId22" Type="http://schemas.openxmlformats.org/officeDocument/2006/relationships/hyperlink" Target="consultantplus://offline/ref=B2E381869416A8A26E5A8FAC19D644ECA0C3D768873D1519686B71A4AF92199A43641473F4E9136B5162F7D8E42F711D6C142225D54BA8BA774DD12CB1y7x7J" TargetMode="External"/><Relationship Id="rId27" Type="http://schemas.openxmlformats.org/officeDocument/2006/relationships/hyperlink" Target="consultantplus://offline/ref=B2E381869416A8A26E5A8FAC19D644ECA0C3D768873D1519686B71A4AF92199A43641473F4E9136B5167F6D3E32A711D6C142225D54BA8BA774DD12CB1y7x7J" TargetMode="External"/><Relationship Id="rId30" Type="http://schemas.openxmlformats.org/officeDocument/2006/relationships/hyperlink" Target="consultantplus://offline/ref=B2E381869416A8A26E5A8FAC19D644ECA0C3D768873D1519686B71A4AF92199A43641473F4E9136B5164F2D2E029711D6C142225D54BA8BA774DD12CB1y7x7J" TargetMode="External"/><Relationship Id="rId35" Type="http://schemas.openxmlformats.org/officeDocument/2006/relationships/hyperlink" Target="consultantplus://offline/ref=B2E381869416A8A26E5A8FAC19D644ECA0C3D768873D1519686B71A4AF92199A43641473F4E9136B5166FCD2E521711D6C142225D54BA8BA774DD12CB1y7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2020-06-02T09:49:00Z</dcterms:created>
  <dcterms:modified xsi:type="dcterms:W3CDTF">2020-06-02T09:51:00Z</dcterms:modified>
</cp:coreProperties>
</file>